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Vortragstitel…Einfluss der Bratzeit auf die Bildung von </w:t>
      </w:r>
      <w:proofErr w:type="spellStart"/>
      <w:r>
        <w:rPr>
          <w:rFonts w:ascii="Arial" w:hAnsi="Arial" w:cs="Arial"/>
          <w:b/>
          <w:sz w:val="24"/>
        </w:rPr>
        <w:t>Glyoxal</w:t>
      </w:r>
      <w:proofErr w:type="spellEnd"/>
      <w:r>
        <w:rPr>
          <w:rFonts w:ascii="Arial" w:hAnsi="Arial" w:cs="Arial"/>
          <w:b/>
          <w:sz w:val="24"/>
        </w:rPr>
        <w:t xml:space="preserve"> und </w:t>
      </w:r>
      <w:proofErr w:type="spellStart"/>
      <w:r>
        <w:rPr>
          <w:rFonts w:ascii="Arial" w:hAnsi="Arial" w:cs="Arial"/>
          <w:b/>
          <w:sz w:val="24"/>
        </w:rPr>
        <w:t>Methylglyoxal</w:t>
      </w:r>
      <w:proofErr w:type="spellEnd"/>
      <w:r>
        <w:rPr>
          <w:rFonts w:ascii="Arial" w:hAnsi="Arial" w:cs="Arial"/>
          <w:b/>
          <w:sz w:val="24"/>
        </w:rPr>
        <w:t xml:space="preserve"> sowie stabiler </w:t>
      </w:r>
      <w:proofErr w:type="spellStart"/>
      <w:r>
        <w:rPr>
          <w:rFonts w:ascii="Arial" w:hAnsi="Arial" w:cs="Arial"/>
          <w:b/>
          <w:i/>
          <w:sz w:val="24"/>
        </w:rPr>
        <w:t>Advanced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Glycation</w:t>
      </w:r>
      <w:proofErr w:type="spellEnd"/>
      <w:r>
        <w:rPr>
          <w:rFonts w:ascii="Arial" w:hAnsi="Arial" w:cs="Arial"/>
          <w:b/>
          <w:i/>
          <w:sz w:val="24"/>
        </w:rPr>
        <w:t xml:space="preserve"> End Products</w:t>
      </w:r>
      <w:r>
        <w:rPr>
          <w:rFonts w:ascii="Arial" w:hAnsi="Arial" w:cs="Arial"/>
          <w:b/>
          <w:sz w:val="24"/>
        </w:rPr>
        <w:t xml:space="preserve"> bei der Zubereitung von Hackfleisch.</w:t>
      </w:r>
    </w:p>
    <w:p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>
      <w:pPr>
        <w:jc w:val="center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u w:val="single"/>
          <w:lang w:val="fi-FI"/>
        </w:rPr>
        <w:t>M. D. Eggen, Halle (Saale) Vortragender/D</w:t>
      </w:r>
      <w:r>
        <w:rPr>
          <w:rFonts w:ascii="Arial" w:hAnsi="Arial" w:cs="Arial"/>
          <w:sz w:val="24"/>
          <w:lang w:val="fi-FI"/>
        </w:rPr>
        <w:t>, M. A. Glomb, Halle (Saale)/D</w:t>
      </w:r>
    </w:p>
    <w:p>
      <w:pPr>
        <w:spacing w:after="0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corresponding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author</w:t>
      </w:r>
      <w:proofErr w:type="spellEnd"/>
      <w:r>
        <w:rPr>
          <w:rFonts w:ascii="Arial" w:hAnsi="Arial" w:cs="Arial"/>
          <w:sz w:val="24"/>
        </w:rPr>
        <w:t xml:space="preserve">..Adresse. Prof. Dr. Marcus A. </w:t>
      </w:r>
      <w:proofErr w:type="spellStart"/>
      <w:r>
        <w:rPr>
          <w:rFonts w:ascii="Arial" w:hAnsi="Arial" w:cs="Arial"/>
          <w:sz w:val="24"/>
        </w:rPr>
        <w:t>Glomb</w:t>
      </w:r>
      <w:proofErr w:type="spellEnd"/>
      <w:r>
        <w:rPr>
          <w:rFonts w:ascii="Arial" w:hAnsi="Arial" w:cs="Arial"/>
          <w:sz w:val="24"/>
        </w:rPr>
        <w:t>, Martin-Luther-Universität Halle-Wittenberg,</w:t>
      </w:r>
    </w:p>
    <w:p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Institut für Chemie, Lebensmittelchemie, Kurt-</w:t>
      </w:r>
      <w:proofErr w:type="spellStart"/>
      <w:r>
        <w:rPr>
          <w:rFonts w:ascii="Arial" w:hAnsi="Arial" w:cs="Arial"/>
          <w:sz w:val="24"/>
        </w:rPr>
        <w:t>Mothes</w:t>
      </w:r>
      <w:proofErr w:type="spellEnd"/>
      <w:r>
        <w:rPr>
          <w:rFonts w:ascii="Arial" w:hAnsi="Arial" w:cs="Arial"/>
          <w:sz w:val="24"/>
        </w:rPr>
        <w:t>-Straße 2,</w:t>
      </w:r>
    </w:p>
    <w:p>
      <w:pPr>
        <w:spacing w:after="0"/>
        <w:jc w:val="center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06120 Halle (Saale), marcus.glomb@chemie.uni-halle.de</w:t>
      </w:r>
    </w:p>
    <w:p>
      <w:pPr>
        <w:spacing w:after="0"/>
        <w:jc w:val="center"/>
        <w:rPr>
          <w:rFonts w:ascii="Arial" w:hAnsi="Arial" w:cs="Arial"/>
          <w:sz w:val="12"/>
          <w:szCs w:val="12"/>
          <w:lang w:val="fi-F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fi-F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Abstract…Während der thermischen Zubereitung sowie Lagerung von Lebensmitteln kommt es zu Modifikationen von Proteinseitenketten. Die Bildung dieser </w:t>
      </w:r>
      <w:proofErr w:type="spellStart"/>
      <w:r>
        <w:rPr>
          <w:rFonts w:ascii="Arial" w:hAnsi="Arial" w:cs="Arial"/>
          <w:i/>
          <w:sz w:val="24"/>
          <w:szCs w:val="24"/>
        </w:rPr>
        <w:t>Advanced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Glycation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End Products</w:t>
      </w:r>
      <w:r>
        <w:rPr>
          <w:rFonts w:ascii="Arial" w:hAnsi="Arial" w:cs="Arial"/>
          <w:sz w:val="24"/>
          <w:szCs w:val="24"/>
        </w:rPr>
        <w:t xml:space="preserve"> (AGEs) ist bereits gut innerhalb der </w:t>
      </w:r>
      <w:proofErr w:type="spellStart"/>
      <w:r>
        <w:rPr>
          <w:rFonts w:ascii="Arial" w:hAnsi="Arial" w:cs="Arial"/>
          <w:sz w:val="24"/>
          <w:szCs w:val="24"/>
        </w:rPr>
        <w:t>Maillard</w:t>
      </w:r>
      <w:proofErr w:type="spellEnd"/>
      <w:r>
        <w:rPr>
          <w:rFonts w:ascii="Arial" w:hAnsi="Arial" w:cs="Arial"/>
          <w:sz w:val="24"/>
          <w:szCs w:val="24"/>
        </w:rPr>
        <w:t xml:space="preserve">-Reaktionskaskade verstanden und 1,2-Dicarbonylstrukturen wie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als zentrale Vorläuferstrukturen aus der Fragmentierung von reduzierenden Zuckern sowie Zuckerphosphaten als auch aus der Fettoxidation etabliert. Ein zentraler Bildungsweg von AGEs erklärt sich mechanistisch aus den </w:t>
      </w:r>
      <w:proofErr w:type="spellStart"/>
      <w:r>
        <w:rPr>
          <w:rFonts w:ascii="Arial" w:hAnsi="Arial" w:cs="Arial"/>
          <w:sz w:val="24"/>
          <w:szCs w:val="24"/>
        </w:rPr>
        <w:t>Isomerisierungsreaktionen</w:t>
      </w:r>
      <w:proofErr w:type="spellEnd"/>
      <w:r>
        <w:rPr>
          <w:rFonts w:ascii="Arial" w:hAnsi="Arial" w:cs="Arial"/>
          <w:sz w:val="24"/>
          <w:szCs w:val="24"/>
        </w:rPr>
        <w:t xml:space="preserve"> der initial gebildeten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- bzw. </w:t>
      </w:r>
      <w:proofErr w:type="spellStart"/>
      <w:r>
        <w:rPr>
          <w:rFonts w:ascii="Arial" w:hAnsi="Arial" w:cs="Arial"/>
          <w:sz w:val="24"/>
          <w:szCs w:val="24"/>
        </w:rPr>
        <w:t>Methylglyoxal-Imine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einfachen Modellsystemen aus </w:t>
      </w:r>
      <w:r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-Boc-Lysin mit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konnte unter milden Bedingungen (37°C, pH 7.4) erstmalig die Bildung der 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-AGEs 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1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2</w:t>
      </w:r>
      <w:r>
        <w:rPr>
          <w:rFonts w:ascii="Arial" w:hAnsi="Arial" w:cs="Arial"/>
          <w:bCs/>
          <w:sz w:val="24"/>
        </w:rPr>
        <w:t xml:space="preserve">-bis-(5-amino-5-carboxypentyl)-2-hydroxy-acetamidin </w:t>
      </w:r>
      <w:r>
        <w:rPr>
          <w:bCs/>
        </w:rPr>
        <w:t>(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>-Lysin-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, GLA) und 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1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i/>
          <w:sz w:val="24"/>
        </w:rPr>
        <w:t>N</w:t>
      </w:r>
      <w:r>
        <w:rPr>
          <w:rFonts w:ascii="Arial" w:hAnsi="Arial" w:cs="Arial"/>
          <w:bCs/>
          <w:sz w:val="24"/>
          <w:vertAlign w:val="superscript"/>
        </w:rPr>
        <w:t>2</w:t>
      </w:r>
      <w:r>
        <w:rPr>
          <w:rFonts w:ascii="Arial" w:hAnsi="Arial" w:cs="Arial"/>
          <w:bCs/>
          <w:sz w:val="24"/>
        </w:rPr>
        <w:t>-bis-(5-amino-5-carboxypentyl)-</w:t>
      </w:r>
      <w:proofErr w:type="spellStart"/>
      <w:r>
        <w:rPr>
          <w:rFonts w:ascii="Arial" w:hAnsi="Arial" w:cs="Arial"/>
          <w:bCs/>
          <w:sz w:val="24"/>
        </w:rPr>
        <w:t>lactoylamidin</w:t>
      </w:r>
      <w:proofErr w:type="spellEnd"/>
      <w:r>
        <w:rPr>
          <w:bCs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>-Lysin-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>, MGLA) bestätigt werden.[1]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Abstract….Hackfleisch-</w:t>
      </w:r>
      <w:proofErr w:type="spellStart"/>
      <w:r>
        <w:rPr>
          <w:rFonts w:ascii="Arial" w:hAnsi="Arial" w:cs="Arial"/>
          <w:sz w:val="24"/>
          <w:szCs w:val="24"/>
        </w:rPr>
        <w:t>Patties</w:t>
      </w:r>
      <w:proofErr w:type="spellEnd"/>
      <w:r>
        <w:rPr>
          <w:rFonts w:ascii="Arial" w:hAnsi="Arial" w:cs="Arial"/>
          <w:sz w:val="24"/>
          <w:szCs w:val="24"/>
        </w:rPr>
        <w:t xml:space="preserve"> wurden bei 200°C angebraten und die Veränderungen von </w:t>
      </w:r>
      <w:proofErr w:type="spellStart"/>
      <w:r>
        <w:rPr>
          <w:rFonts w:ascii="Arial" w:hAnsi="Arial" w:cs="Arial"/>
          <w:sz w:val="24"/>
          <w:szCs w:val="24"/>
        </w:rPr>
        <w:t>Glyoxal</w:t>
      </w:r>
      <w:proofErr w:type="spellEnd"/>
      <w:r>
        <w:rPr>
          <w:rFonts w:ascii="Arial" w:hAnsi="Arial" w:cs="Arial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noBreakHyphen/>
        <w:t xml:space="preserve">AGEs mittels HPLC-MS/MS quantifiziert. Unter anderen konnten die neuartigen </w:t>
      </w:r>
      <w:proofErr w:type="spellStart"/>
      <w:r>
        <w:rPr>
          <w:rFonts w:ascii="Arial" w:hAnsi="Arial" w:cs="Arial"/>
          <w:sz w:val="24"/>
          <w:szCs w:val="24"/>
        </w:rPr>
        <w:t>Amidin</w:t>
      </w:r>
      <w:proofErr w:type="spellEnd"/>
      <w:r>
        <w:rPr>
          <w:rFonts w:ascii="Arial" w:hAnsi="Arial" w:cs="Arial"/>
          <w:sz w:val="24"/>
          <w:szCs w:val="24"/>
        </w:rPr>
        <w:t xml:space="preserve">-AGEs GLA und MGLA erstmalig in der Matrix Fleisch nachgewiesen werden. Allgemein nahmen beim Braten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-AGEs stark zu, was mit der Bildung von freiem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während des Bratens korrelierte. Dies wird durch den quantitativen Abbau der </w:t>
      </w:r>
      <w:proofErr w:type="spellStart"/>
      <w:r>
        <w:rPr>
          <w:rFonts w:ascii="Arial" w:hAnsi="Arial" w:cs="Arial"/>
          <w:sz w:val="24"/>
          <w:szCs w:val="24"/>
        </w:rPr>
        <w:t>Triosephosphate</w:t>
      </w:r>
      <w:proofErr w:type="spellEnd"/>
      <w:r>
        <w:rPr>
          <w:rFonts w:ascii="Arial" w:hAnsi="Arial" w:cs="Arial"/>
          <w:sz w:val="24"/>
          <w:szCs w:val="24"/>
        </w:rPr>
        <w:t xml:space="preserve"> Glycerinaldehyd-3-Phosphat und </w:t>
      </w:r>
      <w:proofErr w:type="spellStart"/>
      <w:r>
        <w:rPr>
          <w:rFonts w:ascii="Arial" w:hAnsi="Arial" w:cs="Arial"/>
          <w:sz w:val="24"/>
          <w:szCs w:val="24"/>
        </w:rPr>
        <w:t>Dihydroxyaceton</w:t>
      </w:r>
      <w:proofErr w:type="spellEnd"/>
      <w:r>
        <w:rPr>
          <w:rFonts w:ascii="Arial" w:hAnsi="Arial" w:cs="Arial"/>
          <w:sz w:val="24"/>
          <w:szCs w:val="24"/>
        </w:rPr>
        <w:t>-Phosphat erklärt, 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Abstract….Das quantitativ bedeutendste AGE innerhalb der Bratreihe stellte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-Lactoyllysin dar, welches bis zum gegenwärtigen Zeitpunkt in Fleisch nicht bekannt war. </w:t>
      </w:r>
      <w:r>
        <w:rPr>
          <w:rFonts w:ascii="Arial" w:hAnsi="Arial" w:cs="Arial"/>
          <w:sz w:val="24"/>
          <w:szCs w:val="24"/>
        </w:rPr>
        <w:t xml:space="preserve">Neben der direkten Reaktion von </w:t>
      </w:r>
      <w:proofErr w:type="spellStart"/>
      <w:r>
        <w:rPr>
          <w:rFonts w:ascii="Arial" w:hAnsi="Arial" w:cs="Arial"/>
          <w:sz w:val="24"/>
          <w:szCs w:val="24"/>
        </w:rPr>
        <w:t>Methylglyoxal</w:t>
      </w:r>
      <w:proofErr w:type="spellEnd"/>
      <w:r>
        <w:rPr>
          <w:rFonts w:ascii="Arial" w:hAnsi="Arial" w:cs="Arial"/>
          <w:sz w:val="24"/>
          <w:szCs w:val="24"/>
        </w:rPr>
        <w:t xml:space="preserve"> und Lysin konnten die hohen Konzentrationen von </w:t>
      </w:r>
      <w:r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-Lactoyllysin durch den alternativen Bildungsweg der nicht-enzymatischen </w:t>
      </w:r>
      <w:proofErr w:type="spellStart"/>
      <w:r>
        <w:rPr>
          <w:rFonts w:ascii="Arial" w:hAnsi="Arial" w:cs="Arial"/>
          <w:sz w:val="24"/>
          <w:szCs w:val="24"/>
        </w:rPr>
        <w:t>Acylierung</w:t>
      </w:r>
      <w:proofErr w:type="spellEnd"/>
      <w:r>
        <w:rPr>
          <w:rFonts w:ascii="Arial" w:hAnsi="Arial" w:cs="Arial"/>
          <w:sz w:val="24"/>
          <w:szCs w:val="24"/>
        </w:rPr>
        <w:t xml:space="preserve"> von Lysin durch 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Lactoylglutathion</w:t>
      </w:r>
      <w:proofErr w:type="spellEnd"/>
      <w:r>
        <w:rPr>
          <w:rFonts w:ascii="Arial" w:hAnsi="Arial" w:cs="Arial"/>
          <w:sz w:val="24"/>
          <w:szCs w:val="24"/>
        </w:rPr>
        <w:t xml:space="preserve"> erklärt werden, welches erstmalig im rohen Hackfleisch mittels HPLC-MS/MS quantifiziert wurde.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Literatur….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 w:fldLock="1"/>
      </w:r>
      <w:r>
        <w:rPr>
          <w:rFonts w:ascii="Arial" w:hAnsi="Arial" w:cs="Arial"/>
          <w:sz w:val="24"/>
        </w:rPr>
        <w:instrText xml:space="preserve">ADDIN Mendeley Bibliography CSL_BIBLIOGRAPHY </w:instrText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 xml:space="preserve">[1] Glomb, M. A.; Pfahler, C. </w:t>
      </w:r>
      <w:r>
        <w:rPr>
          <w:rFonts w:ascii="Arial" w:hAnsi="Arial" w:cs="Arial"/>
          <w:i/>
          <w:iCs/>
          <w:noProof/>
          <w:sz w:val="24"/>
          <w:szCs w:val="24"/>
        </w:rPr>
        <w:t>J. Biol. Chem.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2001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noProof/>
          <w:sz w:val="24"/>
          <w:szCs w:val="24"/>
        </w:rPr>
        <w:t>276</w:t>
      </w:r>
      <w:r>
        <w:rPr>
          <w:rFonts w:ascii="Arial" w:hAnsi="Arial" w:cs="Arial"/>
          <w:noProof/>
          <w:sz w:val="24"/>
          <w:szCs w:val="24"/>
        </w:rPr>
        <w:t xml:space="preserve"> (45), 41638–41647.</w:t>
      </w:r>
      <w:r>
        <w:rPr>
          <w:rFonts w:ascii="Arial" w:hAnsi="Arial" w:cs="Arial"/>
          <w:sz w:val="24"/>
        </w:rPr>
        <w:fldChar w:fldCharType="end"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…</w:t>
      </w:r>
    </w:p>
    <w:sectPr>
      <w:pgSz w:w="12240" w:h="15840"/>
      <w:pgMar w:top="1701" w:right="1304" w:bottom="170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1B5AC-44B4-4174-8768-DCE0FF53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812E-B99C-4631-90D7-F43FB540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Hauptnutzer</dc:creator>
  <cp:lastModifiedBy>Fries, Maike (GDCh)</cp:lastModifiedBy>
  <cp:revision>2</cp:revision>
  <cp:lastPrinted>2021-06-21T12:40:00Z</cp:lastPrinted>
  <dcterms:created xsi:type="dcterms:W3CDTF">2021-11-29T05:32:00Z</dcterms:created>
  <dcterms:modified xsi:type="dcterms:W3CDTF">2021-11-29T05:32:00Z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http://www.zotero.org/styles/journal-of-agricultural-and-food-chemistry</vt:lpwstr>
  </property>
  <property fmtid="{D5CDD505-2E9C-101B-9397-08002B2CF9AE}" pid="17" name="Mendeley Recent Style Name 7_1">
    <vt:lpwstr>Journal of Agricultural and Food Chemistry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97d03522-749b-3b55-ba43-01042683655d</vt:lpwstr>
  </property>
  <property fmtid="{D5CDD505-2E9C-101B-9397-08002B2CF9AE}" pid="24" name="Mendeley Citation Style_1">
    <vt:lpwstr>http://www.zotero.org/styles/journal-of-agricultural-and-food-chemistry</vt:lpwstr>
  </property>
</Properties>
</file>